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78984" w14:textId="77777777" w:rsidR="00B5603E" w:rsidRPr="00381BBD" w:rsidRDefault="00B5603E" w:rsidP="00B5603E">
      <w:pPr>
        <w:ind w:firstLine="720"/>
        <w:jc w:val="center"/>
        <w:rPr>
          <w:bCs/>
        </w:rPr>
      </w:pPr>
      <w:r w:rsidRPr="00381BBD">
        <w:rPr>
          <w:bCs/>
        </w:rPr>
        <w:t>FIGURE A1</w:t>
      </w:r>
    </w:p>
    <w:p w14:paraId="715386A3" w14:textId="77777777" w:rsidR="00B5603E" w:rsidRPr="00381BBD" w:rsidRDefault="00B5603E" w:rsidP="00B5603E">
      <w:pPr>
        <w:ind w:firstLine="720"/>
        <w:jc w:val="center"/>
        <w:rPr>
          <w:bCs/>
          <w:smallCaps/>
        </w:rPr>
      </w:pPr>
      <w:r w:rsidRPr="004424EE">
        <w:rPr>
          <w:bCs/>
          <w:smallCaps/>
        </w:rPr>
        <w:t>percentage of women and children employed in spinning, 1721–1771*</w:t>
      </w:r>
    </w:p>
    <w:p w14:paraId="2C60FFFF" w14:textId="77777777" w:rsidR="00B5603E" w:rsidRPr="004424EE" w:rsidRDefault="00B5603E" w:rsidP="00B5603E">
      <w:r w:rsidRPr="004424EE">
        <w:rPr>
          <w:rFonts w:ascii="Arial" w:hAnsi="Arial" w:cs="Arial"/>
        </w:rPr>
        <w:t> </w:t>
      </w:r>
      <w:r w:rsidRPr="004424EE">
        <w:t xml:space="preserve">* </w:t>
      </w:r>
      <w:r w:rsidRPr="004424EE">
        <w:rPr>
          <w:i/>
        </w:rPr>
        <w:t>Note</w:t>
      </w:r>
      <w:r w:rsidRPr="004424EE">
        <w:t>: Women and girls from 5 years old and boys aged 5–14.</w:t>
      </w:r>
    </w:p>
    <w:p w14:paraId="204998F4" w14:textId="77777777" w:rsidR="00B5603E" w:rsidRPr="003C32ED" w:rsidRDefault="00B5603E" w:rsidP="00B5603E">
      <w:r w:rsidRPr="003C32ED">
        <w:rPr>
          <w:rFonts w:ascii="Arial" w:hAnsi="Arial" w:cs="Arial"/>
        </w:rPr>
        <w:t> </w:t>
      </w:r>
      <w:r w:rsidRPr="003C32ED">
        <w:t xml:space="preserve">* </w:t>
      </w:r>
      <w:r w:rsidRPr="003C32ED">
        <w:rPr>
          <w:i/>
        </w:rPr>
        <w:t>Sources</w:t>
      </w:r>
      <w:r w:rsidRPr="003C32ED">
        <w:t xml:space="preserve">: See Figure 4 </w:t>
      </w:r>
      <w:r w:rsidRPr="006B0D27">
        <w:t>and n. 51.</w:t>
      </w:r>
      <w:r>
        <w:t xml:space="preserve"> </w:t>
      </w:r>
    </w:p>
    <w:p w14:paraId="013C0C11" w14:textId="77777777" w:rsidR="00B5603E" w:rsidRDefault="00B5603E">
      <w:bookmarkStart w:id="0" w:name="_GoBack"/>
      <w:bookmarkEnd w:id="0"/>
    </w:p>
    <w:p w14:paraId="2B70FC50" w14:textId="63D51964" w:rsidR="00360D70" w:rsidRDefault="006F482D">
      <w:r>
        <w:rPr>
          <w:lang w:val="en-IN" w:eastAsia="en-IN"/>
        </w:rPr>
        <w:drawing>
          <wp:inline distT="0" distB="0" distL="0" distR="0" wp14:anchorId="4B7AE804" wp14:editId="42AF8364">
            <wp:extent cx="5366657" cy="3498850"/>
            <wp:effectExtent l="0" t="0" r="5715" b="0"/>
            <wp:docPr id="685847114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46A40D3-BC34-8948-BF79-125C738B659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360D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C0F"/>
    <w:rsid w:val="00005708"/>
    <w:rsid w:val="00032F2F"/>
    <w:rsid w:val="000C4109"/>
    <w:rsid w:val="0013551E"/>
    <w:rsid w:val="0017435B"/>
    <w:rsid w:val="001A18C6"/>
    <w:rsid w:val="00206187"/>
    <w:rsid w:val="00317635"/>
    <w:rsid w:val="00360D70"/>
    <w:rsid w:val="003B0FA9"/>
    <w:rsid w:val="00410BA6"/>
    <w:rsid w:val="004531CB"/>
    <w:rsid w:val="00455D5F"/>
    <w:rsid w:val="00467A22"/>
    <w:rsid w:val="00476722"/>
    <w:rsid w:val="004A5F3A"/>
    <w:rsid w:val="004B2608"/>
    <w:rsid w:val="00504AF3"/>
    <w:rsid w:val="005668E4"/>
    <w:rsid w:val="005D31C6"/>
    <w:rsid w:val="005D55A9"/>
    <w:rsid w:val="005F1971"/>
    <w:rsid w:val="006030FC"/>
    <w:rsid w:val="006211C2"/>
    <w:rsid w:val="006245A2"/>
    <w:rsid w:val="00671D27"/>
    <w:rsid w:val="00686C0A"/>
    <w:rsid w:val="006F482D"/>
    <w:rsid w:val="00757235"/>
    <w:rsid w:val="00786816"/>
    <w:rsid w:val="007B3CA2"/>
    <w:rsid w:val="007D03B5"/>
    <w:rsid w:val="007F1B93"/>
    <w:rsid w:val="00816BF4"/>
    <w:rsid w:val="00850F04"/>
    <w:rsid w:val="00872323"/>
    <w:rsid w:val="00886E9F"/>
    <w:rsid w:val="008A31B4"/>
    <w:rsid w:val="008F094D"/>
    <w:rsid w:val="00902449"/>
    <w:rsid w:val="009032AB"/>
    <w:rsid w:val="009262AD"/>
    <w:rsid w:val="00971979"/>
    <w:rsid w:val="009A18CF"/>
    <w:rsid w:val="009C498D"/>
    <w:rsid w:val="009F0201"/>
    <w:rsid w:val="009F2F4D"/>
    <w:rsid w:val="00A575B2"/>
    <w:rsid w:val="00AB22BA"/>
    <w:rsid w:val="00AC7263"/>
    <w:rsid w:val="00AD75B2"/>
    <w:rsid w:val="00AE632D"/>
    <w:rsid w:val="00B5603E"/>
    <w:rsid w:val="00B86396"/>
    <w:rsid w:val="00B935D2"/>
    <w:rsid w:val="00BA1779"/>
    <w:rsid w:val="00BE5F68"/>
    <w:rsid w:val="00C076BE"/>
    <w:rsid w:val="00CA0EAD"/>
    <w:rsid w:val="00CC0B22"/>
    <w:rsid w:val="00CD03D2"/>
    <w:rsid w:val="00D022CF"/>
    <w:rsid w:val="00D02877"/>
    <w:rsid w:val="00D40FB1"/>
    <w:rsid w:val="00D4398D"/>
    <w:rsid w:val="00D74FE2"/>
    <w:rsid w:val="00E052D8"/>
    <w:rsid w:val="00EB3857"/>
    <w:rsid w:val="00EC266D"/>
    <w:rsid w:val="00EF54F6"/>
    <w:rsid w:val="00F05107"/>
    <w:rsid w:val="00F215D0"/>
    <w:rsid w:val="00F4103F"/>
    <w:rsid w:val="00F422F3"/>
    <w:rsid w:val="00F45086"/>
    <w:rsid w:val="00F47A20"/>
    <w:rsid w:val="00F73AB8"/>
    <w:rsid w:val="00F74C0F"/>
    <w:rsid w:val="00F85411"/>
    <w:rsid w:val="00FA63BA"/>
    <w:rsid w:val="00FC62A2"/>
    <w:rsid w:val="00FE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15DEE"/>
  <w15:docId w15:val="{3E31428F-CE5D-7442-9787-5C6ED89BB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4C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C0F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benschneider\BENJAMIN%20MacBook%20Pro\5.%20History\Projects\Spinning%20Employment\Spinning%20Employment%20-%20Data\Spinning%20Employment%20Calculations%20v5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/>
      <c:lineChart>
        <c:grouping val="standard"/>
        <c:varyColors val="0"/>
        <c:ser>
          <c:idx val="2"/>
          <c:order val="0"/>
          <c:tx>
            <c:v>150-day year share</c:v>
          </c:tx>
          <c:marker>
            <c:symbol val="none"/>
          </c:marker>
          <c:cat>
            <c:numRef>
              <c:f>'Total Employment'!$A$23:$A$73</c:f>
              <c:numCache>
                <c:formatCode>General</c:formatCode>
                <c:ptCount val="51"/>
                <c:pt idx="0">
                  <c:v>1721</c:v>
                </c:pt>
                <c:pt idx="1">
                  <c:v>1722</c:v>
                </c:pt>
                <c:pt idx="2">
                  <c:v>1723</c:v>
                </c:pt>
                <c:pt idx="3">
                  <c:v>1724</c:v>
                </c:pt>
                <c:pt idx="4">
                  <c:v>1725</c:v>
                </c:pt>
                <c:pt idx="5">
                  <c:v>1726</c:v>
                </c:pt>
                <c:pt idx="6">
                  <c:v>1727</c:v>
                </c:pt>
                <c:pt idx="7">
                  <c:v>1728</c:v>
                </c:pt>
                <c:pt idx="8">
                  <c:v>1729</c:v>
                </c:pt>
                <c:pt idx="9">
                  <c:v>1730</c:v>
                </c:pt>
                <c:pt idx="10">
                  <c:v>1731</c:v>
                </c:pt>
                <c:pt idx="11">
                  <c:v>1732</c:v>
                </c:pt>
                <c:pt idx="12">
                  <c:v>1733</c:v>
                </c:pt>
                <c:pt idx="13">
                  <c:v>1734</c:v>
                </c:pt>
                <c:pt idx="14">
                  <c:v>1735</c:v>
                </c:pt>
                <c:pt idx="15">
                  <c:v>1736</c:v>
                </c:pt>
                <c:pt idx="16">
                  <c:v>1737</c:v>
                </c:pt>
                <c:pt idx="17">
                  <c:v>1738</c:v>
                </c:pt>
                <c:pt idx="18">
                  <c:v>1739</c:v>
                </c:pt>
                <c:pt idx="19">
                  <c:v>1740</c:v>
                </c:pt>
                <c:pt idx="20">
                  <c:v>1741</c:v>
                </c:pt>
                <c:pt idx="21">
                  <c:v>1742</c:v>
                </c:pt>
                <c:pt idx="22">
                  <c:v>1743</c:v>
                </c:pt>
                <c:pt idx="23">
                  <c:v>1744</c:v>
                </c:pt>
                <c:pt idx="24">
                  <c:v>1745</c:v>
                </c:pt>
                <c:pt idx="25">
                  <c:v>1746</c:v>
                </c:pt>
                <c:pt idx="26">
                  <c:v>1747</c:v>
                </c:pt>
                <c:pt idx="27">
                  <c:v>1748</c:v>
                </c:pt>
                <c:pt idx="28">
                  <c:v>1749</c:v>
                </c:pt>
                <c:pt idx="29">
                  <c:v>1750</c:v>
                </c:pt>
                <c:pt idx="30">
                  <c:v>1751</c:v>
                </c:pt>
                <c:pt idx="31">
                  <c:v>1752</c:v>
                </c:pt>
                <c:pt idx="32">
                  <c:v>1753</c:v>
                </c:pt>
                <c:pt idx="33">
                  <c:v>1754</c:v>
                </c:pt>
                <c:pt idx="34">
                  <c:v>1755</c:v>
                </c:pt>
                <c:pt idx="35">
                  <c:v>1756</c:v>
                </c:pt>
                <c:pt idx="36">
                  <c:v>1757</c:v>
                </c:pt>
                <c:pt idx="37">
                  <c:v>1758</c:v>
                </c:pt>
                <c:pt idx="38">
                  <c:v>1759</c:v>
                </c:pt>
                <c:pt idx="39">
                  <c:v>1760</c:v>
                </c:pt>
                <c:pt idx="40">
                  <c:v>1761</c:v>
                </c:pt>
                <c:pt idx="41">
                  <c:v>1762</c:v>
                </c:pt>
                <c:pt idx="42">
                  <c:v>1763</c:v>
                </c:pt>
                <c:pt idx="43">
                  <c:v>1764</c:v>
                </c:pt>
                <c:pt idx="44">
                  <c:v>1765</c:v>
                </c:pt>
                <c:pt idx="45">
                  <c:v>1766</c:v>
                </c:pt>
                <c:pt idx="46">
                  <c:v>1767</c:v>
                </c:pt>
                <c:pt idx="47">
                  <c:v>1768</c:v>
                </c:pt>
                <c:pt idx="48">
                  <c:v>1769</c:v>
                </c:pt>
                <c:pt idx="49">
                  <c:v>1770</c:v>
                </c:pt>
                <c:pt idx="50">
                  <c:v>1771</c:v>
                </c:pt>
              </c:numCache>
            </c:numRef>
          </c:cat>
          <c:val>
            <c:numRef>
              <c:f>'Total Employment'!$K$23:$K$73</c:f>
              <c:numCache>
                <c:formatCode>General</c:formatCode>
                <c:ptCount val="51"/>
                <c:pt idx="0" formatCode="0.00%">
                  <c:v>0.12967533998135292</c:v>
                </c:pt>
                <c:pt idx="5" formatCode="0.00%">
                  <c:v>0.12736122618549134</c:v>
                </c:pt>
                <c:pt idx="10" formatCode="0.00%">
                  <c:v>0.11682159994315154</c:v>
                </c:pt>
                <c:pt idx="15" formatCode="0.00%">
                  <c:v>0.11500917047095241</c:v>
                </c:pt>
                <c:pt idx="20" formatCode="0.00%">
                  <c:v>0.11259202786157746</c:v>
                </c:pt>
                <c:pt idx="25" formatCode="0.00%">
                  <c:v>0.11942297046868837</c:v>
                </c:pt>
                <c:pt idx="30" formatCode="0.00%">
                  <c:v>0.13977709744364952</c:v>
                </c:pt>
                <c:pt idx="35" formatCode="0.00%">
                  <c:v>0.14709876566743058</c:v>
                </c:pt>
                <c:pt idx="40" formatCode="0.00%">
                  <c:v>0.14926346039209953</c:v>
                </c:pt>
                <c:pt idx="45" formatCode="0.00%">
                  <c:v>0.1558003105320864</c:v>
                </c:pt>
                <c:pt idx="50" formatCode="0.00%">
                  <c:v>0.15665289290751092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E62-B940-8523-4DB6DA6D2879}"/>
            </c:ext>
          </c:extLst>
        </c:ser>
        <c:ser>
          <c:idx val="0"/>
          <c:order val="1"/>
          <c:tx>
            <c:v>250-day year share</c:v>
          </c:tx>
          <c:marker>
            <c:symbol val="none"/>
          </c:marker>
          <c:cat>
            <c:numRef>
              <c:f>'Total Employment'!$A$23:$A$73</c:f>
              <c:numCache>
                <c:formatCode>General</c:formatCode>
                <c:ptCount val="51"/>
                <c:pt idx="0">
                  <c:v>1721</c:v>
                </c:pt>
                <c:pt idx="1">
                  <c:v>1722</c:v>
                </c:pt>
                <c:pt idx="2">
                  <c:v>1723</c:v>
                </c:pt>
                <c:pt idx="3">
                  <c:v>1724</c:v>
                </c:pt>
                <c:pt idx="4">
                  <c:v>1725</c:v>
                </c:pt>
                <c:pt idx="5">
                  <c:v>1726</c:v>
                </c:pt>
                <c:pt idx="6">
                  <c:v>1727</c:v>
                </c:pt>
                <c:pt idx="7">
                  <c:v>1728</c:v>
                </c:pt>
                <c:pt idx="8">
                  <c:v>1729</c:v>
                </c:pt>
                <c:pt idx="9">
                  <c:v>1730</c:v>
                </c:pt>
                <c:pt idx="10">
                  <c:v>1731</c:v>
                </c:pt>
                <c:pt idx="11">
                  <c:v>1732</c:v>
                </c:pt>
                <c:pt idx="12">
                  <c:v>1733</c:v>
                </c:pt>
                <c:pt idx="13">
                  <c:v>1734</c:v>
                </c:pt>
                <c:pt idx="14">
                  <c:v>1735</c:v>
                </c:pt>
                <c:pt idx="15">
                  <c:v>1736</c:v>
                </c:pt>
                <c:pt idx="16">
                  <c:v>1737</c:v>
                </c:pt>
                <c:pt idx="17">
                  <c:v>1738</c:v>
                </c:pt>
                <c:pt idx="18">
                  <c:v>1739</c:v>
                </c:pt>
                <c:pt idx="19">
                  <c:v>1740</c:v>
                </c:pt>
                <c:pt idx="20">
                  <c:v>1741</c:v>
                </c:pt>
                <c:pt idx="21">
                  <c:v>1742</c:v>
                </c:pt>
                <c:pt idx="22">
                  <c:v>1743</c:v>
                </c:pt>
                <c:pt idx="23">
                  <c:v>1744</c:v>
                </c:pt>
                <c:pt idx="24">
                  <c:v>1745</c:v>
                </c:pt>
                <c:pt idx="25">
                  <c:v>1746</c:v>
                </c:pt>
                <c:pt idx="26">
                  <c:v>1747</c:v>
                </c:pt>
                <c:pt idx="27">
                  <c:v>1748</c:v>
                </c:pt>
                <c:pt idx="28">
                  <c:v>1749</c:v>
                </c:pt>
                <c:pt idx="29">
                  <c:v>1750</c:v>
                </c:pt>
                <c:pt idx="30">
                  <c:v>1751</c:v>
                </c:pt>
                <c:pt idx="31">
                  <c:v>1752</c:v>
                </c:pt>
                <c:pt idx="32">
                  <c:v>1753</c:v>
                </c:pt>
                <c:pt idx="33">
                  <c:v>1754</c:v>
                </c:pt>
                <c:pt idx="34">
                  <c:v>1755</c:v>
                </c:pt>
                <c:pt idx="35">
                  <c:v>1756</c:v>
                </c:pt>
                <c:pt idx="36">
                  <c:v>1757</c:v>
                </c:pt>
                <c:pt idx="37">
                  <c:v>1758</c:v>
                </c:pt>
                <c:pt idx="38">
                  <c:v>1759</c:v>
                </c:pt>
                <c:pt idx="39">
                  <c:v>1760</c:v>
                </c:pt>
                <c:pt idx="40">
                  <c:v>1761</c:v>
                </c:pt>
                <c:pt idx="41">
                  <c:v>1762</c:v>
                </c:pt>
                <c:pt idx="42">
                  <c:v>1763</c:v>
                </c:pt>
                <c:pt idx="43">
                  <c:v>1764</c:v>
                </c:pt>
                <c:pt idx="44">
                  <c:v>1765</c:v>
                </c:pt>
                <c:pt idx="45">
                  <c:v>1766</c:v>
                </c:pt>
                <c:pt idx="46">
                  <c:v>1767</c:v>
                </c:pt>
                <c:pt idx="47">
                  <c:v>1768</c:v>
                </c:pt>
                <c:pt idx="48">
                  <c:v>1769</c:v>
                </c:pt>
                <c:pt idx="49">
                  <c:v>1770</c:v>
                </c:pt>
                <c:pt idx="50">
                  <c:v>1771</c:v>
                </c:pt>
              </c:numCache>
            </c:numRef>
          </c:cat>
          <c:val>
            <c:numRef>
              <c:f>'Total Employment'!$L$23:$L$73</c:f>
              <c:numCache>
                <c:formatCode>General</c:formatCode>
                <c:ptCount val="51"/>
                <c:pt idx="0" formatCode="0.00%">
                  <c:v>7.7805203988811758E-2</c:v>
                </c:pt>
                <c:pt idx="5" formatCode="0.00%">
                  <c:v>7.6416735711294786E-2</c:v>
                </c:pt>
                <c:pt idx="10" formatCode="0.00%">
                  <c:v>7.0092959965890919E-2</c:v>
                </c:pt>
                <c:pt idx="15" formatCode="0.00%">
                  <c:v>6.9005502282571449E-2</c:v>
                </c:pt>
                <c:pt idx="20" formatCode="0.00%">
                  <c:v>6.7555216716946476E-2</c:v>
                </c:pt>
                <c:pt idx="25" formatCode="0.00%">
                  <c:v>7.165378228121301E-2</c:v>
                </c:pt>
                <c:pt idx="30" formatCode="0.00%">
                  <c:v>8.3866258466189697E-2</c:v>
                </c:pt>
                <c:pt idx="35" formatCode="0.00%">
                  <c:v>8.825925940045834E-2</c:v>
                </c:pt>
                <c:pt idx="40" formatCode="0.00%">
                  <c:v>8.9558076235259729E-2</c:v>
                </c:pt>
                <c:pt idx="45" formatCode="0.00%">
                  <c:v>9.348018631925184E-2</c:v>
                </c:pt>
                <c:pt idx="50" formatCode="0.00%">
                  <c:v>9.3991735744506533E-2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E62-B940-8523-4DB6DA6D28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2143923736"/>
        <c:axId val="-2143918312"/>
      </c:lineChart>
      <c:catAx>
        <c:axId val="-214392373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Year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-2143918312"/>
        <c:crosses val="autoZero"/>
        <c:auto val="1"/>
        <c:lblAlgn val="ctr"/>
        <c:lblOffset val="100"/>
        <c:noMultiLvlLbl val="0"/>
      </c:catAx>
      <c:valAx>
        <c:axId val="-214391831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%</a:t>
                </a:r>
                <a:r>
                  <a:rPr lang="en-US" baseline="0"/>
                  <a:t> of Women and children employed</a:t>
                </a:r>
                <a:endParaRPr lang="en-US"/>
              </a:p>
            </c:rich>
          </c:tx>
          <c:layout/>
          <c:overlay val="0"/>
        </c:title>
        <c:numFmt formatCode="0%" sourceLinked="0"/>
        <c:majorTickMark val="none"/>
        <c:minorTickMark val="none"/>
        <c:tickLblPos val="nextTo"/>
        <c:crossAx val="-2143923736"/>
        <c:crosses val="autoZero"/>
        <c:crossBetween val="between"/>
      </c:valAx>
    </c:plotArea>
    <c:legend>
      <c:legendPos val="b"/>
      <c:layout/>
      <c:overlay val="0"/>
    </c:legend>
    <c:plotVisOnly val="1"/>
    <c:dispBlanksAs val="span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NEWGEN</cp:lastModifiedBy>
  <cp:revision>5</cp:revision>
  <dcterms:created xsi:type="dcterms:W3CDTF">2024-08-02T17:01:00Z</dcterms:created>
  <dcterms:modified xsi:type="dcterms:W3CDTF">2024-12-25T16:59:00Z</dcterms:modified>
</cp:coreProperties>
</file>